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1C39" w14:textId="77777777" w:rsidR="006535B3" w:rsidRPr="00241D3A" w:rsidRDefault="006535B3" w:rsidP="006535B3">
      <w:pPr>
        <w:pStyle w:val="Cmsor3"/>
        <w:suppressAutoHyphens w:val="0"/>
        <w:rPr>
          <w:lang w:val="hu-HU"/>
        </w:rPr>
      </w:pPr>
      <w:bookmarkStart w:id="0" w:name="_Toc17894750"/>
      <w:bookmarkStart w:id="1" w:name="_Toc52366291"/>
      <w:r w:rsidRPr="00241D3A">
        <w:rPr>
          <w:lang w:val="hu-HU"/>
        </w:rPr>
        <w:t>Publikációs teljesítmény értékelése, elvárások a doktoranduszokkal szemben</w:t>
      </w:r>
      <w:bookmarkEnd w:id="0"/>
      <w:bookmarkEnd w:id="1"/>
    </w:p>
    <w:p w14:paraId="42BF69CF" w14:textId="77777777" w:rsidR="006535B3" w:rsidRPr="00241D3A" w:rsidRDefault="006535B3" w:rsidP="006535B3">
      <w:pPr>
        <w:suppressAutoHyphens w:val="0"/>
        <w:spacing w:before="120"/>
        <w:rPr>
          <w:szCs w:val="24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68"/>
        <w:gridCol w:w="1517"/>
      </w:tblGrid>
      <w:tr w:rsidR="006535B3" w:rsidRPr="00241D3A" w14:paraId="468EB339" w14:textId="77777777" w:rsidTr="009542C4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44AFF65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Figyelembe vett publikációk</w:t>
            </w:r>
          </w:p>
        </w:tc>
        <w:tc>
          <w:tcPr>
            <w:tcW w:w="1268" w:type="dxa"/>
            <w:vAlign w:val="center"/>
          </w:tcPr>
          <w:p w14:paraId="0C348D54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Besorolás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71E7581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Pontszám</w:t>
            </w:r>
          </w:p>
        </w:tc>
      </w:tr>
      <w:tr w:rsidR="006535B3" w:rsidRPr="00241D3A" w14:paraId="6DCDD610" w14:textId="77777777" w:rsidTr="009542C4">
        <w:trPr>
          <w:jc w:val="center"/>
        </w:trPr>
        <w:tc>
          <w:tcPr>
            <w:tcW w:w="7033" w:type="dxa"/>
            <w:gridSpan w:val="3"/>
            <w:shd w:val="clear" w:color="auto" w:fill="auto"/>
          </w:tcPr>
          <w:p w14:paraId="6B7E77FB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i/>
                <w:szCs w:val="24"/>
                <w:lang w:val="hu-HU" w:eastAsia="hu-HU"/>
              </w:rPr>
              <w:t>1. Folyóirat cikkek (db)</w:t>
            </w:r>
          </w:p>
        </w:tc>
      </w:tr>
      <w:tr w:rsidR="006535B3" w:rsidRPr="00241D3A" w14:paraId="3E1E21F9" w14:textId="77777777" w:rsidTr="009542C4">
        <w:trPr>
          <w:jc w:val="center"/>
        </w:trPr>
        <w:tc>
          <w:tcPr>
            <w:tcW w:w="4248" w:type="dxa"/>
            <w:vMerge w:val="restart"/>
            <w:shd w:val="clear" w:color="auto" w:fill="auto"/>
          </w:tcPr>
          <w:p w14:paraId="0C9A03A6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i/>
                <w:szCs w:val="24"/>
                <w:lang w:val="hu-HU" w:eastAsia="hu-HU"/>
              </w:rPr>
              <w:tab/>
              <w:t>Magyar nyelvű listás</w:t>
            </w:r>
            <w:r w:rsidRPr="00241D3A">
              <w:rPr>
                <w:rFonts w:eastAsia="Times New Roman"/>
                <w:szCs w:val="24"/>
                <w:lang w:val="hu-HU" w:eastAsia="hu-HU"/>
              </w:rPr>
              <w:t xml:space="preserve"> folyóiratban</w:t>
            </w:r>
          </w:p>
        </w:tc>
        <w:tc>
          <w:tcPr>
            <w:tcW w:w="1268" w:type="dxa"/>
          </w:tcPr>
          <w:p w14:paraId="0B8AB712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A</w:t>
            </w:r>
          </w:p>
        </w:tc>
        <w:tc>
          <w:tcPr>
            <w:tcW w:w="1517" w:type="dxa"/>
            <w:shd w:val="clear" w:color="auto" w:fill="auto"/>
          </w:tcPr>
          <w:p w14:paraId="639DF71E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15</w:t>
            </w:r>
          </w:p>
        </w:tc>
      </w:tr>
      <w:tr w:rsidR="006535B3" w:rsidRPr="00241D3A" w14:paraId="6A534F1B" w14:textId="77777777" w:rsidTr="009542C4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250A32C3" w14:textId="77777777" w:rsidR="006535B3" w:rsidRPr="00241D3A" w:rsidRDefault="006535B3" w:rsidP="009542C4">
            <w:pPr>
              <w:suppressAutoHyphens w:val="0"/>
              <w:spacing w:before="0"/>
              <w:jc w:val="right"/>
              <w:rPr>
                <w:rFonts w:eastAsia="Times New Roman"/>
                <w:b/>
                <w:szCs w:val="24"/>
                <w:lang w:val="hu-HU" w:eastAsia="hu-HU"/>
              </w:rPr>
            </w:pPr>
          </w:p>
        </w:tc>
        <w:tc>
          <w:tcPr>
            <w:tcW w:w="1268" w:type="dxa"/>
          </w:tcPr>
          <w:p w14:paraId="134A2C7F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B</w:t>
            </w:r>
          </w:p>
        </w:tc>
        <w:tc>
          <w:tcPr>
            <w:tcW w:w="1517" w:type="dxa"/>
            <w:shd w:val="clear" w:color="auto" w:fill="auto"/>
          </w:tcPr>
          <w:p w14:paraId="1F99CCD2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10</w:t>
            </w:r>
          </w:p>
        </w:tc>
      </w:tr>
      <w:tr w:rsidR="006535B3" w:rsidRPr="00241D3A" w14:paraId="344433E0" w14:textId="77777777" w:rsidTr="009542C4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190EAF34" w14:textId="77777777" w:rsidR="006535B3" w:rsidRPr="00241D3A" w:rsidRDefault="006535B3" w:rsidP="009542C4">
            <w:pPr>
              <w:suppressAutoHyphens w:val="0"/>
              <w:spacing w:before="0"/>
              <w:jc w:val="right"/>
              <w:rPr>
                <w:rFonts w:eastAsia="Times New Roman"/>
                <w:b/>
                <w:szCs w:val="24"/>
                <w:lang w:val="hu-HU" w:eastAsia="hu-HU"/>
              </w:rPr>
            </w:pPr>
          </w:p>
        </w:tc>
        <w:tc>
          <w:tcPr>
            <w:tcW w:w="1268" w:type="dxa"/>
          </w:tcPr>
          <w:p w14:paraId="6364230C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C</w:t>
            </w:r>
          </w:p>
        </w:tc>
        <w:tc>
          <w:tcPr>
            <w:tcW w:w="1517" w:type="dxa"/>
            <w:shd w:val="clear" w:color="auto" w:fill="auto"/>
          </w:tcPr>
          <w:p w14:paraId="13A1764D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8</w:t>
            </w:r>
          </w:p>
        </w:tc>
      </w:tr>
      <w:tr w:rsidR="006535B3" w:rsidRPr="00241D3A" w14:paraId="3FF2D8D4" w14:textId="77777777" w:rsidTr="009542C4">
        <w:trPr>
          <w:jc w:val="center"/>
        </w:trPr>
        <w:tc>
          <w:tcPr>
            <w:tcW w:w="4248" w:type="dxa"/>
            <w:vMerge w:val="restart"/>
            <w:shd w:val="clear" w:color="auto" w:fill="auto"/>
          </w:tcPr>
          <w:p w14:paraId="3786F24A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i/>
                <w:szCs w:val="24"/>
                <w:lang w:val="hu-HU" w:eastAsia="hu-HU"/>
              </w:rPr>
              <w:tab/>
              <w:t>Idegen nyelvű listás</w:t>
            </w:r>
            <w:r w:rsidRPr="00241D3A">
              <w:rPr>
                <w:rFonts w:eastAsia="Times New Roman"/>
                <w:szCs w:val="24"/>
                <w:lang w:val="hu-HU" w:eastAsia="hu-HU"/>
              </w:rPr>
              <w:t xml:space="preserve"> folyóiratban</w:t>
            </w:r>
          </w:p>
          <w:p w14:paraId="4F09D986" w14:textId="77777777" w:rsidR="006535B3" w:rsidRPr="00241D3A" w:rsidRDefault="006535B3" w:rsidP="009542C4">
            <w:pPr>
              <w:suppressAutoHyphens w:val="0"/>
              <w:spacing w:before="0"/>
              <w:jc w:val="right"/>
              <w:rPr>
                <w:rFonts w:eastAsia="Times New Roman"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szCs w:val="24"/>
                <w:lang w:val="hu-HU" w:eastAsia="hu-HU"/>
              </w:rPr>
              <w:t xml:space="preserve">                      </w:t>
            </w:r>
          </w:p>
          <w:p w14:paraId="47EABEF3" w14:textId="77777777" w:rsidR="006535B3" w:rsidRPr="00241D3A" w:rsidRDefault="006535B3" w:rsidP="009542C4">
            <w:pPr>
              <w:spacing w:before="0"/>
              <w:jc w:val="right"/>
              <w:rPr>
                <w:rFonts w:eastAsia="Times New Roman"/>
                <w:szCs w:val="24"/>
                <w:lang w:val="hu-HU" w:eastAsia="hu-HU"/>
              </w:rPr>
            </w:pPr>
          </w:p>
        </w:tc>
        <w:tc>
          <w:tcPr>
            <w:tcW w:w="1268" w:type="dxa"/>
          </w:tcPr>
          <w:p w14:paraId="13AC3EE1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>
              <w:rPr>
                <w:rFonts w:eastAsia="Times New Roman"/>
                <w:b/>
                <w:szCs w:val="24"/>
                <w:lang w:val="hu-HU" w:eastAsia="hu-HU"/>
              </w:rPr>
              <w:t>Q1</w:t>
            </w:r>
          </w:p>
        </w:tc>
        <w:tc>
          <w:tcPr>
            <w:tcW w:w="1517" w:type="dxa"/>
            <w:shd w:val="clear" w:color="auto" w:fill="auto"/>
          </w:tcPr>
          <w:p w14:paraId="51F505F8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30</w:t>
            </w:r>
          </w:p>
        </w:tc>
      </w:tr>
      <w:tr w:rsidR="006535B3" w:rsidRPr="00241D3A" w14:paraId="5F4C0E01" w14:textId="77777777" w:rsidTr="009542C4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62751FC5" w14:textId="77777777" w:rsidR="006535B3" w:rsidRPr="00241D3A" w:rsidRDefault="006535B3" w:rsidP="009542C4">
            <w:pPr>
              <w:spacing w:before="0"/>
              <w:jc w:val="right"/>
              <w:rPr>
                <w:rFonts w:eastAsia="Times New Roman"/>
                <w:szCs w:val="24"/>
                <w:lang w:val="hu-HU" w:eastAsia="hu-HU"/>
              </w:rPr>
            </w:pPr>
          </w:p>
        </w:tc>
        <w:tc>
          <w:tcPr>
            <w:tcW w:w="1268" w:type="dxa"/>
          </w:tcPr>
          <w:p w14:paraId="4250B1D7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>
              <w:rPr>
                <w:rFonts w:eastAsia="Times New Roman"/>
                <w:b/>
                <w:szCs w:val="24"/>
                <w:lang w:val="hu-HU" w:eastAsia="hu-HU"/>
              </w:rPr>
              <w:t>Q2</w:t>
            </w:r>
          </w:p>
        </w:tc>
        <w:tc>
          <w:tcPr>
            <w:tcW w:w="1517" w:type="dxa"/>
            <w:shd w:val="clear" w:color="auto" w:fill="auto"/>
          </w:tcPr>
          <w:p w14:paraId="2CC366D0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20</w:t>
            </w:r>
          </w:p>
        </w:tc>
      </w:tr>
      <w:tr w:rsidR="006535B3" w:rsidRPr="00241D3A" w14:paraId="74620438" w14:textId="77777777" w:rsidTr="009542C4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03C23168" w14:textId="77777777" w:rsidR="006535B3" w:rsidRPr="00241D3A" w:rsidRDefault="006535B3" w:rsidP="009542C4">
            <w:pPr>
              <w:spacing w:before="0"/>
              <w:jc w:val="right"/>
              <w:rPr>
                <w:rFonts w:eastAsia="Times New Roman"/>
                <w:b/>
                <w:szCs w:val="24"/>
                <w:lang w:val="hu-HU" w:eastAsia="hu-HU"/>
              </w:rPr>
            </w:pPr>
          </w:p>
        </w:tc>
        <w:tc>
          <w:tcPr>
            <w:tcW w:w="1268" w:type="dxa"/>
          </w:tcPr>
          <w:p w14:paraId="4BEE0B9E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>
              <w:rPr>
                <w:rFonts w:eastAsia="Times New Roman"/>
                <w:b/>
                <w:szCs w:val="24"/>
                <w:lang w:val="hu-HU" w:eastAsia="hu-HU"/>
              </w:rPr>
              <w:t>Q3</w:t>
            </w:r>
          </w:p>
        </w:tc>
        <w:tc>
          <w:tcPr>
            <w:tcW w:w="1517" w:type="dxa"/>
            <w:shd w:val="clear" w:color="auto" w:fill="auto"/>
          </w:tcPr>
          <w:p w14:paraId="06408604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15</w:t>
            </w:r>
          </w:p>
        </w:tc>
      </w:tr>
      <w:tr w:rsidR="006535B3" w:rsidRPr="00241D3A" w14:paraId="477FF269" w14:textId="77777777" w:rsidTr="009542C4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6F48BE18" w14:textId="77777777" w:rsidR="006535B3" w:rsidRPr="00241D3A" w:rsidRDefault="006535B3" w:rsidP="009542C4">
            <w:pPr>
              <w:suppressAutoHyphens w:val="0"/>
              <w:spacing w:before="0"/>
              <w:jc w:val="right"/>
              <w:rPr>
                <w:rFonts w:eastAsia="Times New Roman"/>
                <w:b/>
                <w:szCs w:val="24"/>
                <w:lang w:val="hu-HU" w:eastAsia="hu-HU"/>
              </w:rPr>
            </w:pPr>
          </w:p>
        </w:tc>
        <w:tc>
          <w:tcPr>
            <w:tcW w:w="1268" w:type="dxa"/>
          </w:tcPr>
          <w:p w14:paraId="54B19255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>
              <w:rPr>
                <w:rFonts w:eastAsia="Times New Roman"/>
                <w:b/>
                <w:szCs w:val="24"/>
                <w:lang w:val="hu-HU" w:eastAsia="hu-HU"/>
              </w:rPr>
              <w:t>Q4</w:t>
            </w:r>
          </w:p>
        </w:tc>
        <w:tc>
          <w:tcPr>
            <w:tcW w:w="1517" w:type="dxa"/>
            <w:shd w:val="clear" w:color="auto" w:fill="auto"/>
          </w:tcPr>
          <w:p w14:paraId="3B47AB35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>
              <w:rPr>
                <w:rFonts w:eastAsia="Times New Roman"/>
                <w:b/>
                <w:szCs w:val="24"/>
                <w:lang w:val="hu-HU" w:eastAsia="hu-HU"/>
              </w:rPr>
              <w:t>10</w:t>
            </w:r>
          </w:p>
        </w:tc>
      </w:tr>
      <w:tr w:rsidR="006535B3" w:rsidRPr="00241D3A" w14:paraId="2A6E5494" w14:textId="77777777" w:rsidTr="009542C4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12837E0A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i/>
                <w:szCs w:val="24"/>
                <w:lang w:val="hu-HU" w:eastAsia="hu-HU"/>
              </w:rPr>
              <w:tab/>
              <w:t>Egyéb</w:t>
            </w:r>
            <w:r w:rsidRPr="00241D3A">
              <w:rPr>
                <w:rFonts w:eastAsia="Times New Roman"/>
                <w:szCs w:val="24"/>
                <w:lang w:val="hu-HU" w:eastAsia="hu-HU"/>
              </w:rPr>
              <w:t xml:space="preserve"> (nem </w:t>
            </w:r>
            <w:proofErr w:type="spellStart"/>
            <w:r w:rsidRPr="00241D3A">
              <w:rPr>
                <w:rFonts w:eastAsia="Times New Roman"/>
                <w:szCs w:val="24"/>
                <w:lang w:val="hu-HU" w:eastAsia="hu-HU"/>
              </w:rPr>
              <w:t>predátor</w:t>
            </w:r>
            <w:proofErr w:type="spellEnd"/>
            <w:r w:rsidRPr="00241D3A">
              <w:rPr>
                <w:rFonts w:eastAsia="Times New Roman"/>
                <w:szCs w:val="24"/>
                <w:lang w:val="hu-HU" w:eastAsia="hu-HU"/>
              </w:rPr>
              <w:t>) folyóiratban</w:t>
            </w:r>
          </w:p>
        </w:tc>
        <w:tc>
          <w:tcPr>
            <w:tcW w:w="1517" w:type="dxa"/>
            <w:shd w:val="clear" w:color="auto" w:fill="auto"/>
          </w:tcPr>
          <w:p w14:paraId="5986FB94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5</w:t>
            </w:r>
          </w:p>
        </w:tc>
      </w:tr>
      <w:tr w:rsidR="006535B3" w:rsidRPr="00241D3A" w14:paraId="17584FD7" w14:textId="77777777" w:rsidTr="009542C4">
        <w:trPr>
          <w:jc w:val="center"/>
        </w:trPr>
        <w:tc>
          <w:tcPr>
            <w:tcW w:w="7033" w:type="dxa"/>
            <w:gridSpan w:val="3"/>
            <w:shd w:val="clear" w:color="auto" w:fill="auto"/>
          </w:tcPr>
          <w:p w14:paraId="65AF7640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i/>
                <w:szCs w:val="24"/>
                <w:lang w:val="hu-HU" w:eastAsia="hu-HU"/>
              </w:rPr>
              <w:t>2. Könyvek, tankönyvek, jegyzetek (ív)</w:t>
            </w:r>
          </w:p>
        </w:tc>
      </w:tr>
      <w:tr w:rsidR="006535B3" w:rsidRPr="00241D3A" w14:paraId="400B5767" w14:textId="77777777" w:rsidTr="009542C4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31FBB5BC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i/>
                <w:szCs w:val="24"/>
                <w:lang w:val="hu-HU" w:eastAsia="hu-HU"/>
              </w:rPr>
              <w:tab/>
              <w:t>Szakkönyv-fejezet</w:t>
            </w:r>
            <w:r w:rsidRPr="00241D3A">
              <w:rPr>
                <w:rFonts w:eastAsia="Times New Roman"/>
                <w:szCs w:val="24"/>
                <w:lang w:val="hu-HU" w:eastAsia="hu-HU"/>
              </w:rPr>
              <w:t xml:space="preserve"> (magyar nyelvű)</w:t>
            </w:r>
          </w:p>
          <w:p w14:paraId="2077C3D7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i/>
                <w:szCs w:val="24"/>
                <w:lang w:val="hu-HU" w:eastAsia="hu-HU"/>
              </w:rPr>
              <w:tab/>
              <w:t>Szakkönyv-fejezet</w:t>
            </w:r>
            <w:r w:rsidRPr="00241D3A">
              <w:rPr>
                <w:rFonts w:eastAsia="Times New Roman"/>
                <w:szCs w:val="24"/>
                <w:lang w:val="hu-HU" w:eastAsia="hu-HU"/>
              </w:rPr>
              <w:t xml:space="preserve"> (idegen nyelvű)</w:t>
            </w:r>
          </w:p>
          <w:p w14:paraId="2DA0E114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i/>
                <w:szCs w:val="24"/>
                <w:lang w:val="hu-HU" w:eastAsia="hu-HU"/>
              </w:rPr>
              <w:tab/>
              <w:t>Tankönyv</w:t>
            </w:r>
          </w:p>
          <w:p w14:paraId="0FE78B2B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szCs w:val="24"/>
                <w:lang w:val="hu-HU" w:eastAsia="hu-HU"/>
              </w:rPr>
              <w:tab/>
              <w:t xml:space="preserve">Egyetemi </w:t>
            </w:r>
            <w:r w:rsidRPr="00241D3A">
              <w:rPr>
                <w:rFonts w:eastAsia="Times New Roman"/>
                <w:i/>
                <w:szCs w:val="24"/>
                <w:lang w:val="hu-HU" w:eastAsia="hu-HU"/>
              </w:rPr>
              <w:t>jegyzet</w:t>
            </w:r>
          </w:p>
        </w:tc>
        <w:tc>
          <w:tcPr>
            <w:tcW w:w="1517" w:type="dxa"/>
            <w:shd w:val="clear" w:color="auto" w:fill="auto"/>
          </w:tcPr>
          <w:p w14:paraId="40D2AE5D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8</w:t>
            </w:r>
          </w:p>
          <w:p w14:paraId="6D77F309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>12</w:t>
            </w:r>
          </w:p>
          <w:p w14:paraId="2DB38486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5</w:t>
            </w:r>
          </w:p>
          <w:p w14:paraId="5AEFE404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3</w:t>
            </w:r>
          </w:p>
        </w:tc>
      </w:tr>
      <w:tr w:rsidR="006535B3" w:rsidRPr="00241D3A" w14:paraId="3769D441" w14:textId="77777777" w:rsidTr="009542C4">
        <w:trPr>
          <w:jc w:val="center"/>
        </w:trPr>
        <w:tc>
          <w:tcPr>
            <w:tcW w:w="7033" w:type="dxa"/>
            <w:gridSpan w:val="3"/>
            <w:shd w:val="clear" w:color="auto" w:fill="auto"/>
          </w:tcPr>
          <w:p w14:paraId="0E24DE1E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i/>
                <w:szCs w:val="24"/>
                <w:lang w:val="hu-HU" w:eastAsia="hu-HU"/>
              </w:rPr>
              <w:t>3. Konferenciák (db)</w:t>
            </w:r>
          </w:p>
        </w:tc>
      </w:tr>
      <w:tr w:rsidR="006535B3" w:rsidRPr="00241D3A" w14:paraId="0C481540" w14:textId="77777777" w:rsidTr="009542C4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720093A8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i/>
                <w:szCs w:val="24"/>
                <w:lang w:val="hu-HU" w:eastAsia="hu-HU"/>
              </w:rPr>
              <w:tab/>
              <w:t>Konferencia-kiadványban</w:t>
            </w:r>
            <w:r w:rsidRPr="00241D3A">
              <w:rPr>
                <w:rFonts w:eastAsia="Times New Roman"/>
                <w:szCs w:val="24"/>
                <w:lang w:val="hu-HU" w:eastAsia="hu-HU"/>
              </w:rPr>
              <w:t xml:space="preserve"> megjelent tanulmány</w:t>
            </w:r>
          </w:p>
          <w:p w14:paraId="1B2D9044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szCs w:val="24"/>
                <w:lang w:val="hu-HU" w:eastAsia="hu-HU"/>
              </w:rPr>
              <w:tab/>
            </w:r>
            <w:r w:rsidRPr="00241D3A">
              <w:rPr>
                <w:rFonts w:eastAsia="Times New Roman"/>
                <w:szCs w:val="24"/>
                <w:lang w:val="hu-HU" w:eastAsia="hu-HU"/>
              </w:rPr>
              <w:tab/>
              <w:t>magyar nyelvű</w:t>
            </w:r>
          </w:p>
          <w:p w14:paraId="3E043A79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szCs w:val="24"/>
                <w:lang w:val="hu-HU" w:eastAsia="hu-HU"/>
              </w:rPr>
              <w:tab/>
            </w:r>
            <w:r w:rsidRPr="00241D3A">
              <w:rPr>
                <w:rFonts w:eastAsia="Times New Roman"/>
                <w:szCs w:val="24"/>
                <w:lang w:val="hu-HU" w:eastAsia="hu-HU"/>
              </w:rPr>
              <w:tab/>
              <w:t>idegen nyelvű</w:t>
            </w:r>
          </w:p>
        </w:tc>
        <w:tc>
          <w:tcPr>
            <w:tcW w:w="1517" w:type="dxa"/>
            <w:shd w:val="clear" w:color="auto" w:fill="auto"/>
          </w:tcPr>
          <w:p w14:paraId="43440F85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</w:t>
            </w:r>
          </w:p>
          <w:p w14:paraId="251439CF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3</w:t>
            </w:r>
          </w:p>
          <w:p w14:paraId="13FA8189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5</w:t>
            </w:r>
          </w:p>
        </w:tc>
      </w:tr>
      <w:tr w:rsidR="006535B3" w:rsidRPr="00241D3A" w14:paraId="176296A7" w14:textId="77777777" w:rsidTr="009542C4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4463FFBB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i/>
                <w:szCs w:val="24"/>
                <w:lang w:val="hu-HU" w:eastAsia="hu-HU"/>
              </w:rPr>
              <w:tab/>
              <w:t>Konferencia előadás</w:t>
            </w:r>
          </w:p>
          <w:p w14:paraId="4B568DB6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szCs w:val="24"/>
                <w:lang w:val="hu-HU" w:eastAsia="hu-HU"/>
              </w:rPr>
              <w:tab/>
            </w:r>
            <w:r w:rsidRPr="00241D3A">
              <w:rPr>
                <w:rFonts w:eastAsia="Times New Roman"/>
                <w:szCs w:val="24"/>
                <w:lang w:val="hu-HU" w:eastAsia="hu-HU"/>
              </w:rPr>
              <w:tab/>
              <w:t>magyar nyelvű</w:t>
            </w:r>
          </w:p>
          <w:p w14:paraId="528764B8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szCs w:val="24"/>
                <w:lang w:val="hu-HU" w:eastAsia="hu-HU"/>
              </w:rPr>
              <w:tab/>
            </w:r>
            <w:r w:rsidRPr="00241D3A">
              <w:rPr>
                <w:rFonts w:eastAsia="Times New Roman"/>
                <w:szCs w:val="24"/>
                <w:lang w:val="hu-HU" w:eastAsia="hu-HU"/>
              </w:rPr>
              <w:tab/>
              <w:t>idegen nyelvű</w:t>
            </w:r>
          </w:p>
        </w:tc>
        <w:tc>
          <w:tcPr>
            <w:tcW w:w="1517" w:type="dxa"/>
            <w:shd w:val="clear" w:color="auto" w:fill="auto"/>
          </w:tcPr>
          <w:p w14:paraId="2F2FCC5F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</w:p>
          <w:p w14:paraId="57C03712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1</w:t>
            </w:r>
          </w:p>
          <w:p w14:paraId="040D9039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2</w:t>
            </w:r>
          </w:p>
        </w:tc>
      </w:tr>
      <w:tr w:rsidR="006535B3" w:rsidRPr="00241D3A" w14:paraId="6F51ACB8" w14:textId="77777777" w:rsidTr="009542C4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3C3A4422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i/>
                <w:szCs w:val="24"/>
                <w:lang w:val="hu-HU" w:eastAsia="hu-HU"/>
              </w:rPr>
              <w:tab/>
              <w:t>Könyvismertetés</w:t>
            </w:r>
          </w:p>
          <w:p w14:paraId="2254A06C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szCs w:val="24"/>
                <w:lang w:val="hu-HU" w:eastAsia="hu-HU"/>
              </w:rPr>
              <w:tab/>
            </w:r>
            <w:r w:rsidRPr="00241D3A">
              <w:rPr>
                <w:rFonts w:eastAsia="Times New Roman"/>
                <w:szCs w:val="24"/>
                <w:lang w:val="hu-HU" w:eastAsia="hu-HU"/>
              </w:rPr>
              <w:tab/>
              <w:t>magyar nyelvű</w:t>
            </w:r>
          </w:p>
          <w:p w14:paraId="239B216F" w14:textId="77777777" w:rsidR="006535B3" w:rsidRPr="00241D3A" w:rsidRDefault="006535B3" w:rsidP="009542C4">
            <w:pPr>
              <w:suppressAutoHyphens w:val="0"/>
              <w:spacing w:before="0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szCs w:val="24"/>
                <w:lang w:val="hu-HU" w:eastAsia="hu-HU"/>
              </w:rPr>
              <w:tab/>
            </w:r>
            <w:r w:rsidRPr="00241D3A">
              <w:rPr>
                <w:rFonts w:eastAsia="Times New Roman"/>
                <w:szCs w:val="24"/>
                <w:lang w:val="hu-HU" w:eastAsia="hu-HU"/>
              </w:rPr>
              <w:tab/>
              <w:t>idegen nyelvű</w:t>
            </w:r>
          </w:p>
        </w:tc>
        <w:tc>
          <w:tcPr>
            <w:tcW w:w="1517" w:type="dxa"/>
            <w:shd w:val="clear" w:color="auto" w:fill="auto"/>
          </w:tcPr>
          <w:p w14:paraId="115E5CC5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</w:p>
          <w:p w14:paraId="6C19A2F1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1</w:t>
            </w:r>
          </w:p>
          <w:p w14:paraId="2E8CEC4A" w14:textId="77777777" w:rsidR="006535B3" w:rsidRPr="00241D3A" w:rsidRDefault="006535B3" w:rsidP="009542C4">
            <w:pPr>
              <w:suppressAutoHyphens w:val="0"/>
              <w:spacing w:before="0"/>
              <w:jc w:val="center"/>
              <w:rPr>
                <w:rFonts w:eastAsia="Times New Roman"/>
                <w:b/>
                <w:szCs w:val="24"/>
                <w:lang w:val="hu-HU" w:eastAsia="hu-HU"/>
              </w:rPr>
            </w:pPr>
            <w:r w:rsidRPr="00241D3A">
              <w:rPr>
                <w:rFonts w:eastAsia="Times New Roman"/>
                <w:b/>
                <w:szCs w:val="24"/>
                <w:lang w:val="hu-HU" w:eastAsia="hu-HU"/>
              </w:rPr>
              <w:t xml:space="preserve">  2</w:t>
            </w:r>
          </w:p>
        </w:tc>
      </w:tr>
    </w:tbl>
    <w:p w14:paraId="2B5C06E1" w14:textId="77777777" w:rsidR="006535B3" w:rsidRDefault="006535B3" w:rsidP="006535B3">
      <w:pPr>
        <w:suppressAutoHyphens w:val="0"/>
        <w:spacing w:before="120"/>
        <w:rPr>
          <w:szCs w:val="24"/>
          <w:lang w:val="hu-HU"/>
        </w:rPr>
      </w:pPr>
    </w:p>
    <w:p w14:paraId="0480BF48" w14:textId="77777777" w:rsidR="006535B3" w:rsidRPr="00241D3A" w:rsidRDefault="006535B3" w:rsidP="006535B3">
      <w:pPr>
        <w:suppressAutoHyphens w:val="0"/>
        <w:spacing w:before="120"/>
        <w:rPr>
          <w:szCs w:val="24"/>
          <w:lang w:val="hu-HU"/>
        </w:rPr>
      </w:pPr>
      <w:r w:rsidRPr="00241D3A">
        <w:rPr>
          <w:szCs w:val="24"/>
          <w:lang w:val="hu-HU"/>
        </w:rPr>
        <w:t>Értékelési szempontok:</w:t>
      </w:r>
    </w:p>
    <w:p w14:paraId="5A36E2F4" w14:textId="77777777" w:rsidR="006535B3" w:rsidRPr="007B196B" w:rsidRDefault="006535B3" w:rsidP="006535B3">
      <w:pPr>
        <w:pStyle w:val="Listaszerbekezds"/>
        <w:numPr>
          <w:ilvl w:val="0"/>
          <w:numId w:val="1"/>
        </w:numPr>
        <w:suppressAutoHyphens w:val="0"/>
        <w:spacing w:before="120"/>
        <w:contextualSpacing/>
        <w:rPr>
          <w:szCs w:val="24"/>
          <w:lang w:val="hu-HU"/>
        </w:rPr>
      </w:pPr>
      <w:r w:rsidRPr="007B196B">
        <w:rPr>
          <w:szCs w:val="24"/>
          <w:lang w:val="hu-HU"/>
        </w:rPr>
        <w:t xml:space="preserve">A magyar nyelvű folyóiratok besorolásánál az MTA IX. Osztály Gazdaságtudományi Doktori Minősítő Bizottság lap-besorolása az irányadó (lásd </w:t>
      </w:r>
      <w:hyperlink r:id="rId5" w:history="1">
        <w:r w:rsidRPr="007B196B">
          <w:rPr>
            <w:rStyle w:val="Hiperhivatkozs"/>
            <w:szCs w:val="24"/>
            <w:lang w:val="hu-HU"/>
          </w:rPr>
          <w:t>https://mta.hu/doktori-tanacs/a-ix-osztaly-doktori-kovetelmenyrendszere-105380</w:t>
        </w:r>
      </w:hyperlink>
      <w:proofErr w:type="gramStart"/>
      <w:r w:rsidRPr="007B196B">
        <w:rPr>
          <w:szCs w:val="24"/>
          <w:lang w:val="hu-HU"/>
        </w:rPr>
        <w:t>) .</w:t>
      </w:r>
      <w:proofErr w:type="gramEnd"/>
      <w:r w:rsidRPr="007B196B">
        <w:rPr>
          <w:szCs w:val="24"/>
          <w:lang w:val="hu-HU"/>
        </w:rPr>
        <w:t xml:space="preserve"> Az idegen nyelvű folyóiratok esetén a </w:t>
      </w:r>
      <w:proofErr w:type="spellStart"/>
      <w:r w:rsidRPr="007B196B">
        <w:rPr>
          <w:szCs w:val="24"/>
          <w:lang w:val="hu-HU"/>
        </w:rPr>
        <w:t>Scimago</w:t>
      </w:r>
      <w:proofErr w:type="spellEnd"/>
      <w:r w:rsidRPr="007B196B">
        <w:rPr>
          <w:szCs w:val="24"/>
          <w:lang w:val="hu-HU"/>
        </w:rPr>
        <w:t xml:space="preserve"> Journal </w:t>
      </w:r>
      <w:proofErr w:type="spellStart"/>
      <w:r w:rsidRPr="007B196B">
        <w:rPr>
          <w:szCs w:val="24"/>
          <w:lang w:val="hu-HU"/>
        </w:rPr>
        <w:t>Ranking</w:t>
      </w:r>
      <w:proofErr w:type="spellEnd"/>
      <w:r w:rsidRPr="007B196B">
        <w:rPr>
          <w:szCs w:val="24"/>
          <w:lang w:val="hu-HU"/>
        </w:rPr>
        <w:t xml:space="preserve"> (</w:t>
      </w:r>
      <w:hyperlink r:id="rId6" w:history="1">
        <w:r w:rsidRPr="007B196B">
          <w:rPr>
            <w:rStyle w:val="Hiperhivatkozs"/>
            <w:szCs w:val="24"/>
            <w:lang w:val="hu-HU"/>
          </w:rPr>
          <w:t>https://www.scimagojr.com/journalrank.php</w:t>
        </w:r>
      </w:hyperlink>
      <w:r w:rsidRPr="007B196B">
        <w:rPr>
          <w:szCs w:val="24"/>
          <w:lang w:val="hu-HU"/>
        </w:rPr>
        <w:t xml:space="preserve">) szakterületi folyóiratainak a besorolása az irányadó. (Automatikusan szakterületinek minősül a Business, Management and Accounting, Decision </w:t>
      </w:r>
      <w:proofErr w:type="spellStart"/>
      <w:r w:rsidRPr="007B196B">
        <w:rPr>
          <w:szCs w:val="24"/>
          <w:lang w:val="hu-HU"/>
        </w:rPr>
        <w:t>Sciences</w:t>
      </w:r>
      <w:proofErr w:type="spellEnd"/>
      <w:r w:rsidRPr="007B196B">
        <w:rPr>
          <w:szCs w:val="24"/>
          <w:lang w:val="hu-HU"/>
        </w:rPr>
        <w:t xml:space="preserve">, </w:t>
      </w:r>
      <w:proofErr w:type="spellStart"/>
      <w:r w:rsidRPr="007B196B">
        <w:rPr>
          <w:szCs w:val="24"/>
          <w:lang w:val="hu-HU"/>
        </w:rPr>
        <w:t>Economics</w:t>
      </w:r>
      <w:proofErr w:type="spellEnd"/>
      <w:r w:rsidRPr="007B196B">
        <w:rPr>
          <w:szCs w:val="24"/>
          <w:lang w:val="hu-HU"/>
        </w:rPr>
        <w:t xml:space="preserve">, </w:t>
      </w:r>
      <w:proofErr w:type="spellStart"/>
      <w:r w:rsidRPr="007B196B">
        <w:rPr>
          <w:szCs w:val="24"/>
          <w:lang w:val="hu-HU"/>
        </w:rPr>
        <w:t>Econometrics</w:t>
      </w:r>
      <w:proofErr w:type="spellEnd"/>
      <w:r w:rsidRPr="007B196B">
        <w:rPr>
          <w:szCs w:val="24"/>
          <w:lang w:val="hu-HU"/>
        </w:rPr>
        <w:t xml:space="preserve"> and </w:t>
      </w:r>
      <w:proofErr w:type="spellStart"/>
      <w:r w:rsidRPr="007B196B">
        <w:rPr>
          <w:szCs w:val="24"/>
          <w:lang w:val="hu-HU"/>
        </w:rPr>
        <w:t>Finance</w:t>
      </w:r>
      <w:proofErr w:type="spellEnd"/>
      <w:r w:rsidRPr="007B196B">
        <w:rPr>
          <w:szCs w:val="24"/>
          <w:lang w:val="hu-HU"/>
        </w:rPr>
        <w:t xml:space="preserve">, </w:t>
      </w:r>
      <w:proofErr w:type="spellStart"/>
      <w:r w:rsidRPr="007B196B">
        <w:rPr>
          <w:szCs w:val="24"/>
          <w:lang w:val="hu-HU"/>
        </w:rPr>
        <w:t>Social</w:t>
      </w:r>
      <w:proofErr w:type="spellEnd"/>
      <w:r w:rsidRPr="007B196B">
        <w:rPr>
          <w:szCs w:val="24"/>
          <w:lang w:val="hu-HU"/>
        </w:rPr>
        <w:t xml:space="preserve"> </w:t>
      </w:r>
      <w:proofErr w:type="spellStart"/>
      <w:r w:rsidRPr="007B196B">
        <w:rPr>
          <w:szCs w:val="24"/>
          <w:lang w:val="hu-HU"/>
        </w:rPr>
        <w:t>Sciences</w:t>
      </w:r>
      <w:proofErr w:type="spellEnd"/>
      <w:r w:rsidRPr="007B196B">
        <w:rPr>
          <w:szCs w:val="24"/>
          <w:lang w:val="hu-HU"/>
        </w:rPr>
        <w:t xml:space="preserve"> területen megjelent publikáció. </w:t>
      </w:r>
      <w:r>
        <w:rPr>
          <w:szCs w:val="24"/>
          <w:lang w:val="hu-HU"/>
        </w:rPr>
        <w:t>A</w:t>
      </w:r>
      <w:r w:rsidRPr="007B196B">
        <w:rPr>
          <w:szCs w:val="24"/>
          <w:lang w:val="hu-HU"/>
        </w:rPr>
        <w:t xml:space="preserve"> </w:t>
      </w:r>
      <w:r>
        <w:rPr>
          <w:szCs w:val="24"/>
          <w:lang w:val="hu-HU"/>
        </w:rPr>
        <w:t>Jelölt</w:t>
      </w:r>
      <w:r w:rsidRPr="007B196B">
        <w:rPr>
          <w:szCs w:val="24"/>
          <w:lang w:val="hu-HU"/>
        </w:rPr>
        <w:t xml:space="preserve"> kérheti más </w:t>
      </w:r>
      <w:proofErr w:type="spellStart"/>
      <w:r w:rsidRPr="007B196B">
        <w:rPr>
          <w:szCs w:val="24"/>
          <w:lang w:val="hu-HU"/>
        </w:rPr>
        <w:t>Subject</w:t>
      </w:r>
      <w:proofErr w:type="spellEnd"/>
      <w:r w:rsidRPr="007B196B">
        <w:rPr>
          <w:szCs w:val="24"/>
          <w:lang w:val="hu-HU"/>
        </w:rPr>
        <w:t xml:space="preserve"> </w:t>
      </w:r>
      <w:proofErr w:type="spellStart"/>
      <w:r w:rsidRPr="007B196B">
        <w:rPr>
          <w:szCs w:val="24"/>
          <w:lang w:val="hu-HU"/>
        </w:rPr>
        <w:t>area</w:t>
      </w:r>
      <w:proofErr w:type="spellEnd"/>
      <w:r w:rsidRPr="007B196B">
        <w:rPr>
          <w:szCs w:val="24"/>
          <w:lang w:val="hu-HU"/>
        </w:rPr>
        <w:t xml:space="preserve"> alá tartozó közlemény beszámítását is, ha az a pályázatban megnevezett tudományág, az álláspályázat tartalma és a pályázó kutatási szakmai profilja szempontjából releváns</w:t>
      </w:r>
      <w:r>
        <w:rPr>
          <w:szCs w:val="24"/>
          <w:lang w:val="hu-HU"/>
        </w:rPr>
        <w:t>.)</w:t>
      </w:r>
    </w:p>
    <w:p w14:paraId="06AD9485" w14:textId="77777777" w:rsidR="006535B3" w:rsidRDefault="006535B3" w:rsidP="006535B3">
      <w:pPr>
        <w:pStyle w:val="Listaszerbekezds"/>
        <w:numPr>
          <w:ilvl w:val="0"/>
          <w:numId w:val="1"/>
        </w:numPr>
        <w:suppressAutoHyphens w:val="0"/>
        <w:spacing w:before="120"/>
        <w:rPr>
          <w:szCs w:val="24"/>
          <w:lang w:val="hu-HU"/>
        </w:rPr>
      </w:pPr>
      <w:r w:rsidRPr="00241D3A">
        <w:rPr>
          <w:szCs w:val="24"/>
          <w:lang w:val="hu-HU"/>
        </w:rPr>
        <w:t>A kétszerzős publikációk esetén a fenti pontszámok 0,6-szerese, három- és többszerzős publikációk esetén a pontszám 0,4-szerese ítélhető meg.</w:t>
      </w:r>
    </w:p>
    <w:p w14:paraId="6B058BC1" w14:textId="77777777" w:rsidR="00E863E7" w:rsidRDefault="00E863E7"/>
    <w:sectPr w:rsidR="00E8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81832"/>
    <w:multiLevelType w:val="hybridMultilevel"/>
    <w:tmpl w:val="E75EB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B3"/>
    <w:rsid w:val="006535B3"/>
    <w:rsid w:val="00E8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8026"/>
  <w15:chartTrackingRefBased/>
  <w15:docId w15:val="{F08B34BE-82AC-4CBE-87F1-612EC2B8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35B3"/>
    <w:pPr>
      <w:suppressAutoHyphens/>
      <w:spacing w:before="240" w:after="0" w:line="240" w:lineRule="auto"/>
      <w:jc w:val="both"/>
    </w:pPr>
    <w:rPr>
      <w:rFonts w:ascii="Garamond" w:eastAsia="Times" w:hAnsi="Garamond" w:cs="Arial"/>
      <w:sz w:val="24"/>
      <w:lang w:val="en-GB" w:eastAsia="ar-SA"/>
    </w:rPr>
  </w:style>
  <w:style w:type="paragraph" w:styleId="Cmsor3">
    <w:name w:val="heading 3"/>
    <w:basedOn w:val="Norml"/>
    <w:next w:val="Norml"/>
    <w:link w:val="Cmsor3Char"/>
    <w:uiPriority w:val="9"/>
    <w:qFormat/>
    <w:rsid w:val="006535B3"/>
    <w:pPr>
      <w:keepNext/>
      <w:tabs>
        <w:tab w:val="num" w:pos="0"/>
      </w:tabs>
      <w:spacing w:before="480" w:after="60"/>
      <w:outlineLvl w:val="2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535B3"/>
    <w:rPr>
      <w:rFonts w:ascii="Garamond" w:eastAsia="Times" w:hAnsi="Garamond" w:cs="Arial"/>
      <w:b/>
      <w:bCs/>
      <w:sz w:val="28"/>
      <w:lang w:val="en-GB" w:eastAsia="ar-SA"/>
    </w:rPr>
  </w:style>
  <w:style w:type="character" w:styleId="Hiperhivatkozs">
    <w:name w:val="Hyperlink"/>
    <w:basedOn w:val="Bekezdsalapbettpusa"/>
    <w:uiPriority w:val="99"/>
    <w:rsid w:val="006535B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35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magojr.com/journalrank.php" TargetMode="External"/><Relationship Id="rId5" Type="http://schemas.openxmlformats.org/officeDocument/2006/relationships/hyperlink" Target="https://mta.hu/doktori-tanacs/a-ix-osztaly-doktori-kovetelmenyrendszere-105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Györgyi</dc:creator>
  <cp:keywords/>
  <dc:description/>
  <cp:lastModifiedBy>Németh Györgyi</cp:lastModifiedBy>
  <cp:revision>1</cp:revision>
  <dcterms:created xsi:type="dcterms:W3CDTF">2022-02-14T13:21:00Z</dcterms:created>
  <dcterms:modified xsi:type="dcterms:W3CDTF">2022-02-14T13:23:00Z</dcterms:modified>
</cp:coreProperties>
</file>